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proofErr w:type="gramStart"/>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proofErr w:type="gramEnd"/>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 xml:space="preserve">ın gündüz yapılması esastır. Ancak </w:t>
      </w:r>
      <w:proofErr w:type="gramStart"/>
      <w:r w:rsidR="007043AD" w:rsidRPr="00FC40C9">
        <w:rPr>
          <w:rFonts w:ascii="Times New Roman" w:hAnsi="Times New Roman" w:cs="Times New Roman"/>
          <w:sz w:val="24"/>
          <w:szCs w:val="24"/>
        </w:rPr>
        <w:t>22/5/2003</w:t>
      </w:r>
      <w:proofErr w:type="gramEnd"/>
      <w:r w:rsidR="007043AD" w:rsidRPr="00FC40C9">
        <w:rPr>
          <w:rFonts w:ascii="Times New Roman" w:hAnsi="Times New Roman" w:cs="Times New Roman"/>
          <w:sz w:val="24"/>
          <w:szCs w:val="24"/>
        </w:rPr>
        <w:t xml:space="preserve">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144, Sosyal Güvenlik Kurumu Emeklilik Hizmetleri Genel Müdürlüğü </w:t>
      </w:r>
      <w:proofErr w:type="gramStart"/>
      <w:r w:rsidRPr="00FC40C9">
        <w:rPr>
          <w:rFonts w:ascii="Times New Roman" w:hAnsi="Times New Roman" w:cs="Times New Roman"/>
          <w:sz w:val="24"/>
          <w:szCs w:val="24"/>
        </w:rPr>
        <w:t>29/09/2016</w:t>
      </w:r>
      <w:proofErr w:type="gramEnd"/>
      <w:r w:rsidRPr="00FC40C9">
        <w:rPr>
          <w:rFonts w:ascii="Times New Roman" w:hAnsi="Times New Roman" w:cs="Times New Roman"/>
          <w:sz w:val="24"/>
          <w:szCs w:val="24"/>
        </w:rPr>
        <w:t xml:space="preserve">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proofErr w:type="gramEnd"/>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w:t>
      </w:r>
      <w:r w:rsidR="005828A4" w:rsidRPr="00FC40C9">
        <w:rPr>
          <w:rFonts w:ascii="Times New Roman" w:hAnsi="Times New Roman" w:cs="Times New Roman"/>
          <w:sz w:val="24"/>
          <w:szCs w:val="24"/>
        </w:rPr>
        <w:lastRenderedPageBreak/>
        <w:t xml:space="preserve">kaydıyla </w:t>
      </w:r>
      <w:r w:rsidR="0073360C" w:rsidRPr="00FC40C9">
        <w:rPr>
          <w:rFonts w:ascii="Times New Roman" w:hAnsi="Times New Roman" w:cs="Times New Roman"/>
          <w:sz w:val="24"/>
          <w:szCs w:val="24"/>
        </w:rPr>
        <w:t>taraflarca 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Ücret, başlangıçta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w:t>
      </w:r>
      <w:proofErr w:type="gramStart"/>
      <w:r w:rsidR="00C83932" w:rsidRPr="00FC40C9">
        <w:rPr>
          <w:rFonts w:ascii="Times New Roman" w:hAnsi="Times New Roman" w:cs="Times New Roman"/>
          <w:sz w:val="24"/>
          <w:szCs w:val="24"/>
        </w:rPr>
        <w:t>...............................................</w:t>
      </w:r>
      <w:proofErr w:type="gramEnd"/>
      <w:r w:rsidR="00C83932"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roofErr w:type="gramEnd"/>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ustalık beceri sınavı değerlendirme </w:t>
      </w:r>
      <w:proofErr w:type="gramStart"/>
      <w:r w:rsidRPr="00FC40C9">
        <w:rPr>
          <w:rFonts w:ascii="Times New Roman" w:hAnsi="Times New Roman" w:cs="Times New Roman"/>
          <w:sz w:val="24"/>
          <w:szCs w:val="24"/>
        </w:rPr>
        <w:t>kriterleri</w:t>
      </w:r>
      <w:proofErr w:type="gramEnd"/>
      <w:r w:rsidRPr="00FC40C9">
        <w:rPr>
          <w:rFonts w:ascii="Times New Roman" w:hAnsi="Times New Roman" w:cs="Times New Roman"/>
          <w:sz w:val="24"/>
          <w:szCs w:val="24"/>
        </w:rPr>
        <w:t xml:space="preserve">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w:t>
      </w:r>
      <w:proofErr w:type="gramStart"/>
      <w:r w:rsidR="006B5C45" w:rsidRPr="00FC40C9">
        <w:rPr>
          <w:rFonts w:ascii="Times New Roman" w:hAnsi="Times New Roman" w:cs="Times New Roman"/>
          <w:sz w:val="24"/>
          <w:szCs w:val="24"/>
        </w:rPr>
        <w:t>6/4/2004</w:t>
      </w:r>
      <w:proofErr w:type="gramEnd"/>
      <w:r w:rsidR="006B5C45" w:rsidRPr="00FC40C9">
        <w:rPr>
          <w:rFonts w:ascii="Times New Roman" w:hAnsi="Times New Roman" w:cs="Times New Roman"/>
          <w:sz w:val="24"/>
          <w:szCs w:val="24"/>
        </w:rPr>
        <w:t xml:space="preserve">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proofErr w:type="gramStart"/>
      <w:r w:rsidR="00027225" w:rsidRPr="00FC40C9">
        <w:rPr>
          <w:rFonts w:ascii="Times New Roman" w:hAnsi="Times New Roman" w:cs="Times New Roman"/>
          <w:sz w:val="24"/>
          <w:szCs w:val="24"/>
        </w:rPr>
        <w:t>15/05/</w:t>
      </w:r>
      <w:r w:rsidR="00F638DA" w:rsidRPr="00FC40C9">
        <w:rPr>
          <w:rFonts w:ascii="Times New Roman" w:hAnsi="Times New Roman" w:cs="Times New Roman"/>
          <w:sz w:val="24"/>
          <w:szCs w:val="24"/>
        </w:rPr>
        <w:t>2013</w:t>
      </w:r>
      <w:proofErr w:type="gramEnd"/>
      <w:r w:rsidR="00F638DA" w:rsidRPr="00FC40C9">
        <w:rPr>
          <w:rFonts w:ascii="Times New Roman" w:hAnsi="Times New Roman" w:cs="Times New Roman"/>
          <w:sz w:val="24"/>
          <w:szCs w:val="24"/>
        </w:rPr>
        <w:t xml:space="preserve">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w:t>
      </w:r>
      <w:proofErr w:type="gramStart"/>
      <w:r w:rsidR="004F1BD8" w:rsidRPr="00FC40C9">
        <w:rPr>
          <w:rFonts w:ascii="Times New Roman" w:hAnsi="Times New Roman" w:cs="Times New Roman"/>
          <w:sz w:val="24"/>
          <w:szCs w:val="24"/>
        </w:rPr>
        <w:t>15/05/2013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proofErr w:type="gramStart"/>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lastRenderedPageBreak/>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proofErr w:type="gramStart"/>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roofErr w:type="gramEnd"/>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1137B888" w14:textId="2F4A873E" w:rsidR="00544233"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71C3C4D7" w14:textId="59331F8D" w:rsidR="00544233"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xml:space="preserve">- (1) </w:t>
      </w:r>
      <w:proofErr w:type="gramStart"/>
      <w:r w:rsidR="00601E62"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tbl>
      <w:tblPr>
        <w:tblStyle w:val="TabloKlavuzu"/>
        <w:tblpPr w:leftFromText="141" w:rightFromText="141" w:vertAnchor="text" w:horzAnchor="margin" w:tblpY="708"/>
        <w:tblW w:w="0" w:type="auto"/>
        <w:tblLook w:val="04A0" w:firstRow="1" w:lastRow="0" w:firstColumn="1" w:lastColumn="0" w:noHBand="0" w:noVBand="1"/>
      </w:tblPr>
      <w:tblGrid>
        <w:gridCol w:w="3492"/>
        <w:gridCol w:w="3493"/>
        <w:gridCol w:w="3493"/>
      </w:tblGrid>
      <w:tr w:rsidR="00971E9D" w14:paraId="05D8F7E7" w14:textId="77777777" w:rsidTr="00971E9D">
        <w:trPr>
          <w:trHeight w:val="1773"/>
        </w:trPr>
        <w:tc>
          <w:tcPr>
            <w:tcW w:w="3492" w:type="dxa"/>
          </w:tcPr>
          <w:p w14:paraId="47DB242C" w14:textId="77777777" w:rsidR="00971E9D" w:rsidRPr="00E21AD1" w:rsidRDefault="00971E9D" w:rsidP="00971E9D">
            <w:pPr>
              <w:pStyle w:val="TableParagraph"/>
              <w:jc w:val="center"/>
              <w:rPr>
                <w:rFonts w:ascii="Times New Roman" w:eastAsia="Calibri" w:hAnsi="Times New Roman" w:cs="Times New Roman"/>
                <w:sz w:val="24"/>
                <w:szCs w:val="24"/>
                <w:lang w:val="tr-TR"/>
              </w:rPr>
            </w:pPr>
            <w:bookmarkStart w:id="0" w:name="_GoBack"/>
            <w:bookmarkEnd w:id="0"/>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3D077FFB" w14:textId="77777777" w:rsidR="00971E9D" w:rsidRDefault="00971E9D" w:rsidP="00971E9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3C58B69" w14:textId="77777777" w:rsidR="00971E9D" w:rsidRPr="00CA4978" w:rsidRDefault="00971E9D" w:rsidP="00971E9D">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2C822312" w14:textId="77777777" w:rsidR="00971E9D" w:rsidRDefault="00971E9D" w:rsidP="00971E9D">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178840E9" w14:textId="77777777" w:rsidR="00971E9D" w:rsidRPr="00E21AD1" w:rsidRDefault="00971E9D" w:rsidP="00971E9D">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612ED62D" w14:textId="77777777" w:rsidR="00971E9D" w:rsidRDefault="00971E9D" w:rsidP="00971E9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5CDB6AA4" w14:textId="77777777" w:rsidR="00971E9D" w:rsidRDefault="00971E9D" w:rsidP="00971E9D">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896FDCD" w14:textId="77777777" w:rsidR="00971E9D" w:rsidRPr="00E21AD1" w:rsidRDefault="00971E9D" w:rsidP="00971E9D">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039394B7" w14:textId="77777777" w:rsidR="00971E9D" w:rsidRDefault="00971E9D" w:rsidP="00971E9D">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4FBCF1E4" w14:textId="77777777" w:rsidR="00971E9D" w:rsidRPr="00E21AD1" w:rsidRDefault="00971E9D" w:rsidP="00971E9D">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1E98A7A0" w14:textId="77777777" w:rsidR="00971E9D" w:rsidRDefault="00971E9D" w:rsidP="00971E9D">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616358E6" w14:textId="77777777" w:rsidR="00971E9D" w:rsidRPr="003A25EB" w:rsidRDefault="00971E9D" w:rsidP="00971E9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3B565D1A" w14:textId="77777777" w:rsidR="00971E9D" w:rsidRPr="00BC7E86" w:rsidRDefault="00971E9D" w:rsidP="00971E9D">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14:paraId="7B3E7759" w14:textId="77777777" w:rsidR="00971E9D" w:rsidRDefault="00971E9D" w:rsidP="00971E9D">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2675876C" w14:textId="77777777" w:rsidR="00971E9D" w:rsidRDefault="00971E9D" w:rsidP="00971E9D">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sectPr w:rsidR="00CA4978" w:rsidSect="00971E9D">
      <w:footerReference w:type="default" r:id="rId9"/>
      <w:pgSz w:w="11906" w:h="16838" w:code="9"/>
      <w:pgMar w:top="567" w:right="567" w:bottom="284"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65B23" w14:textId="77777777" w:rsidR="000B0C10" w:rsidRDefault="000B0C10" w:rsidP="002E58F0">
      <w:pPr>
        <w:spacing w:after="0" w:line="240" w:lineRule="auto"/>
      </w:pPr>
      <w:r>
        <w:separator/>
      </w:r>
    </w:p>
  </w:endnote>
  <w:endnote w:type="continuationSeparator" w:id="0">
    <w:p w14:paraId="2E9B4261" w14:textId="77777777" w:rsidR="000B0C10" w:rsidRDefault="000B0C10"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971E9D">
          <w:rPr>
            <w:noProof/>
          </w:rPr>
          <w:t>8</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CB739" w14:textId="77777777" w:rsidR="000B0C10" w:rsidRDefault="000B0C10" w:rsidP="002E58F0">
      <w:pPr>
        <w:spacing w:after="0" w:line="240" w:lineRule="auto"/>
      </w:pPr>
      <w:r>
        <w:separator/>
      </w:r>
    </w:p>
  </w:footnote>
  <w:footnote w:type="continuationSeparator" w:id="0">
    <w:p w14:paraId="2088B9CF" w14:textId="77777777" w:rsidR="000B0C10" w:rsidRDefault="000B0C10"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0C10"/>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1E9D"/>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78A22-2DB7-4A67-88AE-866C7DED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4399</Words>
  <Characters>25075</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User</cp:lastModifiedBy>
  <cp:revision>3</cp:revision>
  <cp:lastPrinted>2024-10-09T06:20:00Z</cp:lastPrinted>
  <dcterms:created xsi:type="dcterms:W3CDTF">2024-04-03T11:49:00Z</dcterms:created>
  <dcterms:modified xsi:type="dcterms:W3CDTF">2024-10-09T06:21:00Z</dcterms:modified>
</cp:coreProperties>
</file>